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GridTable4-Accent1"/>
        <w:tblpPr w:vertAnchor="margin" w:horzAnchor="margin" w:leftFromText="180" w:rightFromText="180" w:tblpX="-275" w:tblpY="960"/>
        <w:tblW w:w="997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90"/>
        <w:gridCol w:w="18"/>
        <w:gridCol w:w="1802"/>
        <w:gridCol w:w="2436"/>
        <w:gridCol w:w="513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90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color="auto" w:fill="000000" w:themeFill="text1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b/>
                <w:bCs/>
                <w:color w:themeColor="background1" w:val="FFFFFF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color w:themeColor="background1" w:val="FFFFFF"/>
                <w:kern w:val="2"/>
                <w:sz w:val="24"/>
                <w:szCs w:val="24"/>
                <w:lang w:val="en-US" w:eastAsia="en-US" w:bidi="ar-SA"/>
              </w:rPr>
              <w:t>S/N</w:t>
            </w:r>
          </w:p>
        </w:tc>
        <w:tc>
          <w:tcPr>
            <w:tcW w:w="1820" w:type="dxa"/>
            <w:gridSpan w:val="2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color="auto" w:fill="4472C4" w:themeFill="accent1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b/>
                <w:bCs/>
                <w:color w:themeColor="background1" w:val="FFFFFF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color w:themeColor="background1" w:val="FFFFFF"/>
                <w:kern w:val="2"/>
                <w:sz w:val="24"/>
                <w:szCs w:val="24"/>
                <w:lang w:val="en-US" w:eastAsia="en-US" w:bidi="ar-SA"/>
              </w:rPr>
              <w:t>Client / Project Name</w:t>
            </w:r>
          </w:p>
        </w:tc>
        <w:tc>
          <w:tcPr>
            <w:tcW w:w="2436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color="auto" w:fill="000000" w:themeFill="text1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false"/>
                <w:bCs w:val="false"/>
              </w:rPr>
            </w:pPr>
            <w:r>
              <w:rPr>
                <w:rFonts w:eastAsia="Calibri" w:cs=""/>
                <w:b/>
                <w:bCs/>
                <w:color w:themeColor="background1" w:val="FFFFFF"/>
                <w:kern w:val="2"/>
                <w:sz w:val="24"/>
                <w:szCs w:val="24"/>
                <w:lang w:val="en-US" w:eastAsia="en-US" w:bidi="ar-SA"/>
              </w:rPr>
              <w:t>Service Description &amp; Key Features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b/>
                <w:bCs/>
                <w:color w:themeColor="background1" w:val="FFFFFF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color w:themeColor="background1" w:val="FFFFFF"/>
                <w:kern w:val="2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513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color="auto" w:fill="4472C4" w:themeFill="accent1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b/>
                <w:bCs/>
                <w:color w:themeColor="background1" w:val="FFFFFF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color w:themeColor="background1" w:val="FFFFFF"/>
                <w:kern w:val="2"/>
                <w:sz w:val="24"/>
                <w:szCs w:val="24"/>
                <w:lang w:val="en-US" w:eastAsia="en-US" w:bidi="ar-SA"/>
              </w:rPr>
              <w:t>Website/Link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08" w:type="dxa"/>
            <w:gridSpan w:val="2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1802" w:type="dxa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>Jenny Photos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436" w:type="dxa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Customer Relationship Management (CRM) /Sales/Stock Inventory Service Application</w:t>
            </w:r>
          </w:p>
        </w:tc>
        <w:tc>
          <w:tcPr>
            <w:tcW w:w="5131" w:type="dxa"/>
            <w:tcBorders>
              <w:right w:val="nil"/>
            </w:tcBorders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>https://</w:t>
            </w: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>appstack.ng</w:t>
            </w:r>
          </w:p>
        </w:tc>
      </w:tr>
      <w:tr>
        <w:trPr/>
        <w:tc>
          <w:tcPr>
            <w:tcW w:w="608" w:type="dxa"/>
            <w:gridSpan w:val="2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2</w:t>
            </w:r>
          </w:p>
        </w:tc>
        <w:tc>
          <w:tcPr>
            <w:tcW w:w="18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>LAPO Institute for Microfinance and Management Studies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43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E-Learning System:</w:t>
            </w: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 xml:space="preserve"> For over 7,000 staff from LAPO ECOSYSTEM.</w:t>
            </w:r>
          </w:p>
        </w:tc>
        <w:tc>
          <w:tcPr>
            <w:tcW w:w="5131" w:type="dxa"/>
            <w:tcBorders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>https://training.lapoinstitute.edu.ng/users/login/5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08" w:type="dxa"/>
            <w:gridSpan w:val="2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3</w:t>
            </w:r>
          </w:p>
        </w:tc>
        <w:tc>
          <w:tcPr>
            <w:tcW w:w="1802" w:type="dxa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>LAPO Institute for Microfinance and Management Studies</w:t>
            </w:r>
          </w:p>
        </w:tc>
        <w:tc>
          <w:tcPr>
            <w:tcW w:w="2436" w:type="dxa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Full Educational Portal Automation:</w:t>
            </w: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 xml:space="preserve"> Includes Bursary, Account (Income/Expenditure), Audit, Payroll, Workers Cooperative, Result Processing, Student Biometric System, Holiday Project, and Assignment modules.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5131" w:type="dxa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>www.lapoinstitute.edu.ng</w:t>
            </w:r>
          </w:p>
        </w:tc>
      </w:tr>
      <w:tr>
        <w:trPr/>
        <w:tc>
          <w:tcPr>
            <w:tcW w:w="608" w:type="dxa"/>
            <w:gridSpan w:val="2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4</w:t>
            </w:r>
          </w:p>
        </w:tc>
        <w:tc>
          <w:tcPr>
            <w:tcW w:w="18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>MINISTRY OF EDUCATION ASABA, DELTA STATE (BECE)</w:t>
            </w:r>
          </w:p>
        </w:tc>
        <w:tc>
          <w:tcPr>
            <w:tcW w:w="243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Basic Education Certificate Examination (BECE) Processing and Certification Generation Software:</w:t>
            </w: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 xml:space="preserve"> Full Automation including Offline Principal Registration, Ministry Verification, Online Junior WAEC Result checking, etc.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513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>http://www.deltamobse.ng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08" w:type="dxa"/>
            <w:gridSpan w:val="2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5</w:t>
            </w:r>
          </w:p>
        </w:tc>
        <w:tc>
          <w:tcPr>
            <w:tcW w:w="1802" w:type="dxa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>RCCG REGION 23 REDEEM MEN FELLOWSHIP (RMF),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>WARRI, DELTA STATE</w:t>
            </w:r>
          </w:p>
        </w:tc>
        <w:tc>
          <w:tcPr>
            <w:tcW w:w="2436" w:type="dxa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GEA-CLOUD Management Solution:</w:t>
            </w: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 xml:space="preserve"> Online and Offline Capabilities with strong internal audit reports for the cooperative management.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5131" w:type="dxa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>http://www.r23rmfcoop.ng</w:t>
            </w:r>
          </w:p>
        </w:tc>
      </w:tr>
      <w:tr>
        <w:trPr/>
        <w:tc>
          <w:tcPr>
            <w:tcW w:w="608" w:type="dxa"/>
            <w:gridSpan w:val="2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6</w:t>
            </w:r>
          </w:p>
        </w:tc>
        <w:tc>
          <w:tcPr>
            <w:tcW w:w="18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>BENIN CLUB</w:t>
            </w:r>
          </w:p>
        </w:tc>
        <w:tc>
          <w:tcPr>
            <w:tcW w:w="243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Total Accounting Computerization Management System (TAC-MS) &amp; System Upgrade:</w:t>
            </w: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 xml:space="preserve"> Includes Computerized Member Database, Daily Income/Expense Ledger Posting, Asset Register/Financial Management, Staff/Member Loan Management, Accountant Ledger Posting, Cash Book Management, Trial Balance Report, </w:t>
            </w: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eWallet, eBar,</w:t>
            </w: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eVoting</w:t>
            </w: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 xml:space="preserve">, and </w:t>
            </w: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eProcurement</w:t>
            </w: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 xml:space="preserve"> modules.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513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08" w:type="dxa"/>
            <w:gridSpan w:val="2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7</w:t>
            </w:r>
          </w:p>
        </w:tc>
        <w:tc>
          <w:tcPr>
            <w:tcW w:w="1802" w:type="dxa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>ESTA8.NG</w:t>
            </w:r>
          </w:p>
        </w:tc>
        <w:tc>
          <w:tcPr>
            <w:tcW w:w="2436" w:type="dxa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Revenue Collection and Data Gathering System:</w:t>
            </w: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 xml:space="preserve"> Includes modules for Account Books, Audit, Payroll, etc.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5131" w:type="dxa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>http://www.esta8.ng</w:t>
            </w:r>
          </w:p>
        </w:tc>
      </w:tr>
      <w:tr>
        <w:trPr/>
        <w:tc>
          <w:tcPr>
            <w:tcW w:w="608" w:type="dxa"/>
            <w:gridSpan w:val="2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8</w:t>
            </w:r>
          </w:p>
        </w:tc>
        <w:tc>
          <w:tcPr>
            <w:tcW w:w="18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>UNIVERSITY OF BENIN FACULTY OF AGRICULTURE COOPERATIVE (FAGCOOP)</w:t>
            </w:r>
          </w:p>
        </w:tc>
        <w:tc>
          <w:tcPr>
            <w:tcW w:w="243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eCooperative Management Solution:</w:t>
            </w: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 xml:space="preserve"> Features Loan management, Auto loan variation reports, life savings, income, expenditures, etc.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513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08" w:type="dxa"/>
            <w:gridSpan w:val="2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9</w:t>
            </w:r>
          </w:p>
        </w:tc>
        <w:tc>
          <w:tcPr>
            <w:tcW w:w="1802" w:type="dxa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>EDO STATE POLYTECHNIC, USEN (Formerly EDO STATE INSTITUTE OF TECH. &amp; MANAGEMENT)</w:t>
            </w:r>
          </w:p>
        </w:tc>
        <w:tc>
          <w:tcPr>
            <w:tcW w:w="2436" w:type="dxa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Staff Salaries, Loans and Savings Scheme Automation:</w:t>
            </w: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 xml:space="preserve"> Also includes Student Data Management System and </w:t>
            </w: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Enterprise Resource Planning (ERP) Solution</w:t>
            </w: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>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5131" w:type="dxa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</w:r>
          </w:p>
        </w:tc>
      </w:tr>
      <w:tr>
        <w:trPr/>
        <w:tc>
          <w:tcPr>
            <w:tcW w:w="608" w:type="dxa"/>
            <w:gridSpan w:val="2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10</w:t>
            </w:r>
          </w:p>
        </w:tc>
        <w:tc>
          <w:tcPr>
            <w:tcW w:w="18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>DELTA STATE SCHOOL OF HEALTH TECHNOLOGY, OFOUMA, UGHELLI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43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Student Data Management System and Enterprise Resource Planning (ERP) Solution.</w:t>
            </w:r>
          </w:p>
        </w:tc>
        <w:tc>
          <w:tcPr>
            <w:tcW w:w="513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>http://www.deltashtportal.com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08" w:type="dxa"/>
            <w:gridSpan w:val="2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11</w:t>
            </w:r>
          </w:p>
        </w:tc>
        <w:tc>
          <w:tcPr>
            <w:tcW w:w="1802" w:type="dxa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>DELTA STATE SCHOOL OF HEALTH TECHNOLOGY, OFOUMA, UGHELLI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436" w:type="dxa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eLibrary Solution.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5131" w:type="dxa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>http://www.deltashtportal.com/elibrary/</w:t>
            </w:r>
          </w:p>
        </w:tc>
      </w:tr>
      <w:tr>
        <w:trPr/>
        <w:tc>
          <w:tcPr>
            <w:tcW w:w="608" w:type="dxa"/>
            <w:gridSpan w:val="2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12</w:t>
            </w:r>
          </w:p>
        </w:tc>
        <w:tc>
          <w:tcPr>
            <w:tcW w:w="18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>SHELL EDJEBA ESTATE SCHOOL</w:t>
            </w:r>
          </w:p>
        </w:tc>
        <w:tc>
          <w:tcPr>
            <w:tcW w:w="243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Full Secondary School Automation:</w:t>
            </w: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 xml:space="preserve"> Includes Bursary, Account Books, Audit, Payroll, Workers Cooperative, Result Processing, Holiday Project, and Assignment modules.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513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>http://www.eesportal.com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08" w:type="dxa"/>
            <w:gridSpan w:val="2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13</w:t>
            </w:r>
          </w:p>
        </w:tc>
        <w:tc>
          <w:tcPr>
            <w:tcW w:w="1802" w:type="dxa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>MARITECH LEARNING MANAGEMENT SYSTEM</w:t>
            </w:r>
          </w:p>
        </w:tc>
        <w:tc>
          <w:tcPr>
            <w:tcW w:w="2436" w:type="dxa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Full Secondary School Automation:</w:t>
            </w: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 xml:space="preserve"> Includes Bursary, Account (Income/Expenditure), Audit, Payroll, Workers Cooperative, Result Processing, Holiday Project, and Assignment modules.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5131" w:type="dxa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>https://maritechacademy.kademic5.com.ng</w:t>
            </w:r>
          </w:p>
        </w:tc>
      </w:tr>
      <w:tr>
        <w:trPr/>
        <w:tc>
          <w:tcPr>
            <w:tcW w:w="608" w:type="dxa"/>
            <w:gridSpan w:val="2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14</w:t>
            </w:r>
          </w:p>
        </w:tc>
        <w:tc>
          <w:tcPr>
            <w:tcW w:w="18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>MICHAEL IMOHDU COLLEGE OF PHYSICAL AND HEALTH EDUCATION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43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Student Data Management System and Enterprise Resource Planning (ERP) Solution.</w:t>
            </w:r>
          </w:p>
        </w:tc>
        <w:tc>
          <w:tcPr>
            <w:tcW w:w="513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08" w:type="dxa"/>
            <w:gridSpan w:val="2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15</w:t>
            </w:r>
          </w:p>
        </w:tc>
        <w:tc>
          <w:tcPr>
            <w:tcW w:w="1802" w:type="dxa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>DIVINE WISDOM INTERNATIONAL SCHOOL</w:t>
            </w:r>
          </w:p>
        </w:tc>
        <w:tc>
          <w:tcPr>
            <w:tcW w:w="2436" w:type="dxa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Full Secondary School Automation:</w:t>
            </w: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 xml:space="preserve"> Includes Bursary, Account Books, Audit, Payroll, Workers Cooperative, Result Processing, Holiday Project, and Assignment modules.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5131" w:type="dxa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>http://www.divinewisdomschools.org</w:t>
            </w:r>
          </w:p>
        </w:tc>
      </w:tr>
      <w:tr>
        <w:trPr/>
        <w:tc>
          <w:tcPr>
            <w:tcW w:w="608" w:type="dxa"/>
            <w:gridSpan w:val="2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16</w:t>
            </w:r>
          </w:p>
        </w:tc>
        <w:tc>
          <w:tcPr>
            <w:tcW w:w="18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>DIVINE PATTERN EDUCATIONAL INSTITUTE</w:t>
            </w:r>
          </w:p>
        </w:tc>
        <w:tc>
          <w:tcPr>
            <w:tcW w:w="243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Full Secondary School Automation:</w:t>
            </w: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 xml:space="preserve"> Includes Bursary, Account (Income/Expenditure), Audit, Payroll, Workers Cooperative, Result Processing, Holiday Project, and Assignment modules.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513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>http://www.divinepatternhighschool.com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08" w:type="dxa"/>
            <w:gridSpan w:val="2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17</w:t>
            </w:r>
          </w:p>
        </w:tc>
        <w:tc>
          <w:tcPr>
            <w:tcW w:w="1802" w:type="dxa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>EDO SPECIALIST HOSPITAL</w:t>
            </w:r>
          </w:p>
        </w:tc>
        <w:tc>
          <w:tcPr>
            <w:tcW w:w="2436" w:type="dxa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Computer-Based Test (CBT) System.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5131" w:type="dxa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</w:r>
          </w:p>
        </w:tc>
      </w:tr>
      <w:tr>
        <w:trPr/>
        <w:tc>
          <w:tcPr>
            <w:tcW w:w="608" w:type="dxa"/>
            <w:gridSpan w:val="2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18</w:t>
            </w:r>
          </w:p>
        </w:tc>
        <w:tc>
          <w:tcPr>
            <w:tcW w:w="18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>GKGS CONSULTING</w:t>
            </w:r>
          </w:p>
        </w:tc>
        <w:tc>
          <w:tcPr>
            <w:tcW w:w="243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HR Enterprise Solution.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513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08" w:type="dxa"/>
            <w:gridSpan w:val="2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19</w:t>
            </w:r>
          </w:p>
        </w:tc>
        <w:tc>
          <w:tcPr>
            <w:tcW w:w="1802" w:type="dxa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>AMBROSE ALLI UNIVERSITY (AAU)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2436" w:type="dxa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AAU E-VOTING Application.</w:t>
            </w:r>
          </w:p>
        </w:tc>
        <w:tc>
          <w:tcPr>
            <w:tcW w:w="5131" w:type="dxa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</w:r>
          </w:p>
        </w:tc>
      </w:tr>
      <w:tr>
        <w:trPr/>
        <w:tc>
          <w:tcPr>
            <w:tcW w:w="608" w:type="dxa"/>
            <w:gridSpan w:val="2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20</w:t>
            </w:r>
          </w:p>
        </w:tc>
        <w:tc>
          <w:tcPr>
            <w:tcW w:w="18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>EDO STATE SEEFOR</w:t>
            </w:r>
          </w:p>
        </w:tc>
        <w:tc>
          <w:tcPr>
            <w:tcW w:w="243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Tracer Study Consultancy:</w:t>
            </w: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 xml:space="preserve"> Investigating the impact level of TVAT Graduates in all State-Owned Technical Institutions.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513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08" w:type="dxa"/>
            <w:gridSpan w:val="2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21</w:t>
            </w:r>
          </w:p>
        </w:tc>
        <w:tc>
          <w:tcPr>
            <w:tcW w:w="1802" w:type="dxa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>DELTA STATE POLYTECHNIC OGWASH-UKU</w:t>
            </w:r>
          </w:p>
        </w:tc>
        <w:tc>
          <w:tcPr>
            <w:tcW w:w="2436" w:type="dxa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Web Portal Solution Development and Maintenance.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5131" w:type="dxa"/>
            <w:tcBorders/>
            <w:shd w:color="auto" w:fill="D9E2F3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</w:r>
          </w:p>
        </w:tc>
      </w:tr>
      <w:tr>
        <w:trPr/>
        <w:tc>
          <w:tcPr>
            <w:tcW w:w="608" w:type="dxa"/>
            <w:gridSpan w:val="2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22</w:t>
            </w:r>
          </w:p>
        </w:tc>
        <w:tc>
          <w:tcPr>
            <w:tcW w:w="18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  <w:t>COLLEGE OF EDUCATION, IGUEBEN</w:t>
            </w:r>
          </w:p>
        </w:tc>
        <w:tc>
          <w:tcPr>
            <w:tcW w:w="243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  <w:t>Web Portal Solution Development and Maintenance.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rFonts w:eastAsia="Calibri" w:cs=""/>
                <w:b/>
                <w:bCs/>
                <w:kern w:val="2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513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"/>
                <w:kern w:val="2"/>
                <w:sz w:val="24"/>
                <w:szCs w:val="24"/>
                <w:lang w:val="en-US" w:eastAsia="en-US" w:bidi="ar-SA"/>
              </w:rPr>
            </w:r>
          </w:p>
        </w:tc>
      </w:tr>
    </w:tbl>
    <w:p>
      <w:pPr>
        <w:pStyle w:val="Normal"/>
        <w:suppressAutoHyphens w:val="true"/>
        <w:spacing w:lineRule="auto" w:line="276" w:before="480" w:after="480"/>
        <w:rPr>
          <w:rFonts w:ascii="Calibri" w:hAnsi="Calibri" w:eastAsia="Times New Roman" w:cs="Times New Roman"/>
          <w:kern w:val="0"/>
          <w:szCs w:val="20"/>
          <w:lang w:eastAsia="zh-CN"/>
          <w14:ligatures w14:val="none"/>
        </w:rPr>
      </w:pPr>
      <w:r>
        <w:rPr>
          <w:rFonts w:eastAsia="Times New Roman" w:cs="Times New Roman" w:ascii="Calibri" w:hAnsi="Calibri"/>
          <w:kern w:val="0"/>
          <w:szCs w:val="20"/>
          <w:lang w:eastAsia="zh-CN"/>
          <w14:ligatures w14:val="none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2240" w:h="15840"/>
      <w:pgMar w:left="1627" w:right="1152" w:gutter="0" w:header="1" w:top="1627" w:footer="216" w:bottom="171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swiss"/>
    <w:pitch w:val="variable"/>
  </w:font>
  <w:font w:name="Century Gothic">
    <w:charset w:val="01"/>
    <w:family w:val="swiss"/>
    <w:pitch w:val="variable"/>
  </w:font>
  <w:font w:name="Garamond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6" w:space="8" w:color="000000"/>
      </w:pBdr>
      <w:tabs>
        <w:tab w:val="left" w:pos="720" w:leader="none"/>
        <w:tab w:val="center" w:pos="4140" w:leader="none"/>
        <w:tab w:val="center" w:pos="4680" w:leader="none"/>
        <w:tab w:val="left" w:pos="7920" w:leader="none"/>
        <w:tab w:val="right" w:pos="8820" w:leader="none"/>
        <w:tab w:val="right" w:pos="9360" w:leader="none"/>
      </w:tabs>
      <w:spacing w:before="480" w:after="480"/>
      <w:ind w:left="-540" w:right="-439"/>
      <w:rPr>
        <w:rFonts w:ascii="Century Gothic" w:hAnsi="Century Gothic" w:cs="Century Gothic"/>
        <w:spacing w:val="40"/>
        <w:sz w:val="12"/>
        <w:szCs w:val="12"/>
      </w:rPr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6" w:space="8" w:color="000000"/>
      </w:pBdr>
      <w:tabs>
        <w:tab w:val="left" w:pos="720" w:leader="none"/>
        <w:tab w:val="center" w:pos="4140" w:leader="none"/>
        <w:tab w:val="center" w:pos="4680" w:leader="none"/>
        <w:tab w:val="left" w:pos="7920" w:leader="none"/>
        <w:tab w:val="right" w:pos="8820" w:leader="none"/>
        <w:tab w:val="right" w:pos="9360" w:leader="none"/>
      </w:tabs>
      <w:spacing w:before="480" w:after="480"/>
      <w:ind w:left="-540" w:right="-439"/>
      <w:rPr/>
    </w:pPr>
    <w:r>
      <w:rPr>
        <w:rFonts w:cs="Century Gothic" w:ascii="Century Gothic" w:hAnsi="Century Gothic"/>
        <w:spacing w:val="22"/>
        <w:sz w:val="12"/>
        <w:szCs w:val="12"/>
      </w:rPr>
      <w:t xml:space="preserve">GHELI, ICT SPECIALISTS IN </w:t>
    </w:r>
    <w:r>
      <w:rPr>
        <w:rFonts w:cs="Century Gothic" w:ascii="Century Gothic" w:hAnsi="Century Gothic"/>
        <w:i/>
        <w:spacing w:val="22"/>
        <w:sz w:val="12"/>
        <w:szCs w:val="12"/>
      </w:rPr>
      <w:t>SOFTWARE DEVELOPMENT | HARDWARE &amp; SOFTWARE PROCUREMENT | NETWORKING &amp; NETWORK SOLUTIONS</w:t>
    </w:r>
    <w:r>
      <w:rPr>
        <w:rFonts w:cs="Century Gothic" w:ascii="Century Gothic" w:hAnsi="Century Gothic"/>
        <w:spacing w:val="40"/>
        <w:sz w:val="12"/>
        <w:szCs w:val="12"/>
      </w:rPr>
      <w:tab/>
      <w:tab/>
      <w:t xml:space="preserve">           </w:t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480" w:after="480"/>
      <w:ind w:left="-540" w:right="1678"/>
      <w:rPr>
        <w:rFonts w:ascii="Century Gothic" w:hAnsi="Century Gothic" w:cs="Century Gothic"/>
        <w:i/>
        <w:i/>
        <w:spacing w:val="46"/>
        <w:sz w:val="12"/>
        <w:szCs w:val="12"/>
      </w:rPr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480" w:after="480"/>
      <w:ind w:left="-540" w:right="1678"/>
      <w:rPr>
        <w:b/>
      </w:rPr>
    </w:pPr>
    <w:r>
      <w:rPr>
        <w:rFonts w:cs="Garamond" w:ascii="Garamond" w:hAnsi="Garamond"/>
        <w:b/>
        <w:sz w:val="28"/>
        <w:szCs w:val="28"/>
      </w:rPr>
      <w:t>MY OUT REACH</w:t>
    </w:r>
  </w:p>
</w:hdr>
</file>

<file path=word/settings.xml><?xml version="1.0" encoding="utf-8"?>
<w:settings xmlns:w="http://schemas.openxmlformats.org/wordprocessingml/2006/main">
  <w:zoom w:percent="87"/>
  <w:defaultTabStop w:val="720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f4d5d"/>
    <w:pPr>
      <w:widowControl/>
      <w:bidi w:val="0"/>
      <w:spacing w:lineRule="auto" w:line="276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4"/>
      <w:szCs w:val="24"/>
      <w:lang w:val="en-US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4d5d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4d5d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4d5d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4d5d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4d5d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4d5d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4d5d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4d5d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4d5d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"/>
    <w:qFormat/>
    <w:rsid w:val="00ff4d5d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qFormat/>
    <w:rsid w:val="00ff4d5d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qFormat/>
    <w:rsid w:val="00ff4d5d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qFormat/>
    <w:rsid w:val="00ff4d5d"/>
    <w:rPr>
      <w:rFonts w:eastAsia="" w:cs="" w:cstheme="majorBidi" w:eastAsiaTheme="majorEastAsia"/>
      <w:i/>
      <w:iCs/>
      <w:color w:themeColor="accent1" w:themeShade="bf" w:val="2F5496"/>
    </w:rPr>
  </w:style>
  <w:style w:type="character" w:styleId="Heading5Char" w:customStyle="1">
    <w:name w:val="Heading 5 Char"/>
    <w:basedOn w:val="DefaultParagraphFont"/>
    <w:link w:val="Heading5"/>
    <w:uiPriority w:val="9"/>
    <w:semiHidden/>
    <w:qFormat/>
    <w:rsid w:val="00ff4d5d"/>
    <w:rPr>
      <w:rFonts w:eastAsia="" w:cs="" w:cstheme="majorBidi" w:eastAsiaTheme="majorEastAsia"/>
      <w:color w:themeColor="accent1" w:themeShade="bf" w:val="2F5496"/>
    </w:rPr>
  </w:style>
  <w:style w:type="character" w:styleId="Heading6Char" w:customStyle="1">
    <w:name w:val="Heading 6 Char"/>
    <w:basedOn w:val="DefaultParagraphFont"/>
    <w:link w:val="Heading6"/>
    <w:uiPriority w:val="9"/>
    <w:semiHidden/>
    <w:qFormat/>
    <w:rsid w:val="00ff4d5d"/>
    <w:rPr>
      <w:rFonts w:eastAsia="" w:cs="" w:cstheme="majorBidi" w:eastAsiaTheme="majorEastAsia"/>
      <w:i/>
      <w:iCs/>
      <w:color w:themeColor="text1" w:themeTint="a6" w:val="595959"/>
    </w:rPr>
  </w:style>
  <w:style w:type="character" w:styleId="Heading7Char" w:customStyle="1">
    <w:name w:val="Heading 7 Char"/>
    <w:basedOn w:val="DefaultParagraphFont"/>
    <w:link w:val="Heading7"/>
    <w:uiPriority w:val="9"/>
    <w:semiHidden/>
    <w:qFormat/>
    <w:rsid w:val="00ff4d5d"/>
    <w:rPr>
      <w:rFonts w:eastAsia="" w:cs="" w:cstheme="majorBidi" w:eastAsiaTheme="majorEastAsia"/>
      <w:color w:themeColor="text1" w:themeTint="a6" w:val="595959"/>
    </w:rPr>
  </w:style>
  <w:style w:type="character" w:styleId="Heading8Char" w:customStyle="1">
    <w:name w:val="Heading 8 Char"/>
    <w:basedOn w:val="DefaultParagraphFont"/>
    <w:link w:val="Heading8"/>
    <w:uiPriority w:val="9"/>
    <w:semiHidden/>
    <w:qFormat/>
    <w:rsid w:val="00ff4d5d"/>
    <w:rPr>
      <w:rFonts w:eastAsia="" w:cs="" w:cstheme="majorBidi" w:eastAsiaTheme="majorEastAsia"/>
      <w:i/>
      <w:iCs/>
      <w:color w:themeColor="text1" w:themeTint="d8" w:val="272727"/>
    </w:rPr>
  </w:style>
  <w:style w:type="character" w:styleId="Heading9Char" w:customStyle="1">
    <w:name w:val="Heading 9 Char"/>
    <w:basedOn w:val="DefaultParagraphFont"/>
    <w:link w:val="Heading9"/>
    <w:uiPriority w:val="9"/>
    <w:semiHidden/>
    <w:qFormat/>
    <w:rsid w:val="00ff4d5d"/>
    <w:rPr>
      <w:rFonts w:eastAsia="" w:cs="" w:cstheme="majorBidi" w:eastAsiaTheme="majorEastAsia"/>
      <w:color w:themeColor="text1" w:themeTint="d8" w:val="272727"/>
    </w:rPr>
  </w:style>
  <w:style w:type="character" w:styleId="TitleChar" w:customStyle="1">
    <w:name w:val="Title Char"/>
    <w:basedOn w:val="DefaultParagraphFont"/>
    <w:link w:val="Title"/>
    <w:uiPriority w:val="10"/>
    <w:qFormat/>
    <w:rsid w:val="00ff4d5d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qFormat/>
    <w:rsid w:val="00ff4d5d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QuoteChar" w:customStyle="1">
    <w:name w:val="Quote Char"/>
    <w:basedOn w:val="DefaultParagraphFont"/>
    <w:link w:val="Quote"/>
    <w:uiPriority w:val="29"/>
    <w:qFormat/>
    <w:rsid w:val="00ff4d5d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ff4d5d"/>
    <w:rPr>
      <w:i/>
      <w:iCs/>
      <w:color w:themeColor="accent1" w:themeShade="bf" w:val="2F5496"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sid w:val="00ff4d5d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ff4d5d"/>
    <w:rPr>
      <w:b/>
      <w:bCs/>
      <w:smallCaps/>
      <w:color w:themeColor="accent1" w:themeShade="bf" w:val="2F5496"/>
      <w:spacing w:val="5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ff4d5d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ff4d5d"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Normal"/>
    <w:link w:val="TitleChar"/>
    <w:uiPriority w:val="10"/>
    <w:qFormat/>
    <w:rsid w:val="00ff4d5d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4d5d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4d5d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ff4d5d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IntenseQuoteChar"/>
    <w:uiPriority w:val="30"/>
    <w:qFormat/>
    <w:rsid w:val="00ff4d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ff4d5d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ff4d5d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ff4d5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istTable5Dark-Accent5">
    <w:name w:val="List Table 5 Dark Accent 5"/>
    <w:basedOn w:val="TableNormal"/>
    <w:uiPriority w:val="50"/>
    <w:rsid w:val="00ff4d5d"/>
    <w:pPr>
      <w:spacing w:after="0" w:line="240" w:lineRule="auto"/>
    </w:pPr>
    <w:rPr>
      <w:color w:themeColor="background1"/>
    </w:rPr>
    <w:tblPr>
      <w:tblStyleRowBandSize w:val="1"/>
      <w:tblStyleColBandSize w:val="1"/>
      <w:tblBorders>
        <w:top w:val="single" w:color="5B9BD5" w:themeColor="accent5" w:sz="24" w:space="0"/>
        <w:left w:val="single" w:color="5B9BD5" w:themeColor="accent5" w:sz="24" w:space="0"/>
        <w:bottom w:val="single" w:color="5B9BD5" w:themeColor="accent5" w:sz="24" w:space="0"/>
        <w:right w:val="single" w:color="5B9BD5" w:themeColor="accent5" w:sz="24" w:space="0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GridTable4-Accent1">
    <w:name w:val="Grid Table 4 Accent 1"/>
    <w:basedOn w:val="TableNormal"/>
    <w:uiPriority w:val="49"/>
    <w:rsid w:val="00ff4d5d"/>
    <w:pPr>
      <w:spacing w:after="0" w:line="240" w:lineRule="auto"/>
    </w:pPr>
    <w:tblPr>
      <w:tblStyleRowBandSize w:val="1"/>
      <w:tblStyleColBandSize w:val="1"/>
      <w:tblBorders>
        <w:top w:val="single" w:color="8EAADB" w:themeColor="accent1" w:themeTint="99" w:sz="4" w:space="0"/>
        <w:left w:val="single" w:color="8EAADB" w:themeColor="accent1" w:themeTint="99" w:sz="4" w:space="0"/>
        <w:bottom w:val="single" w:color="8EAADB" w:themeColor="accent1" w:themeTint="99" w:sz="4" w:space="0"/>
        <w:right w:val="single" w:color="8EAADB" w:themeColor="accent1" w:themeTint="99" w:sz="4" w:space="0"/>
        <w:insideH w:val="single" w:color="8EAADB" w:themeColor="accent1" w:themeTint="99" w:sz="4" w:space="0"/>
        <w:insideV w:val="single" w:color="8EAADB" w:themeColor="accent1" w:themeTint="99" w:sz="4" w:space="0"/>
      </w:tblBorders>
    </w:tblPr>
    <w:tblStylePr w:type="firstRow">
      <w:rPr>
        <w:b/>
        <w:bCs/>
        <w:color w:themeColor="background1"/>
      </w:rPr>
      <w:tblPr/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color="4472C4" w:themeColor="accent1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B649A-E224-4E10-AD1C-4C159176B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Application>LibreOffice/24.8.4.2$MacOSX_X86_64 LibreOffice_project/bb3cfa12c7b1bf994ecc5649a80400d06cd71002</Application>
  <AppVersion>15.0000</AppVersion>
  <Pages>5</Pages>
  <Words>480</Words>
  <Characters>3597</Characters>
  <CharactersWithSpaces>4005</CharactersWithSpaces>
  <Paragraphs>85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2025-10-13T14:35:00Z</dcterms:created>
  <dc:creator>Barbara Bright-Osayande</dc:creator>
  <dc:description/>
  <dc:language>en-NG</dc:language>
  <cp:lastModifiedBy/>
  <dcterms:modified xsi:type="dcterms:W3CDTF">2025-10-13T16:47:38Z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